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FE" w:rsidRDefault="005B1FFE">
      <w:pPr>
        <w:pStyle w:val="ConsPlusNormal"/>
        <w:jc w:val="both"/>
        <w:outlineLvl w:val="0"/>
      </w:pPr>
    </w:p>
    <w:p w:rsidR="005B1FFE" w:rsidRPr="005B1FFE" w:rsidRDefault="005B1FF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ФГАУ "НАЦИОНАЛЬНЫЙ МЕДИЦИНСКИЙ ИССЛЕДОВАТЕЛЬСКИЙ ЦЕНТР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ЗДОРОВЬЯ ДЕТЕЙ"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НИИ ГИГИЕНЫ И ОХРАНЫ ЗДОРОВЬЯ ДЕТЕЙ И ПОДРОСТКОВ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ПО ИСПОЛЬЗОВАНИЮ КОМПЬЮТЕРНЫХ ТЕХНОЛОГИЙ И ЭЛЕКТРОННОГО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ОБУЧЕНИЯ В РАБОТЕ С ОБУЧАЮЩИМИСЯ</w:t>
      </w: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Организация-разработчик - ФГАУ "НМИЦ здоровья детей" Минздрава России (НИИ гигиены и охраны здоровья детей и подростков)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Авторы-разработчики: Фисенко А.П., Вершинина М.Г., Александрова И.Э., Храмцов П.И., Айзятова М.В., Березина Н.О., Соколова С.Б., Вятлева О.А.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Рекомендации содержат материалы по организации контроля за условиями обучения и воспитания в образовательных организациях с целью предупреждения негативных воздействий использования компьютерных технологий и электронных средств обучения, на здоровье обучающихся и предназначены для врачей и среднего медицинского персонала отделений медицинской помощи обучающимся в образовательных организациях, для руководителей образовательных организаций, педагогов.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1. Введение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Показатели состояния здоровья современных российских школьников отражают рост распространенности нарушений здоровья, которые в значительной степени обусловлены длительным влиянием неблагоприятных факторов школьной среды в процессе обучения в школе.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Согласно Федеральному </w:t>
      </w:r>
      <w:hyperlink r:id="rId4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закону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от 29.12.2012 N 273-ФЗ (ред. от 02.07.2021) "Об образовании в Российской Федерации" и Федеральным государственным образовательным </w:t>
      </w:r>
      <w:hyperlink r:id="rId5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стандартам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общего образования, наряду с обеспечением безопасных условий обучения, общеобразовательные организации должны активно использовать средства информационно-коммуникационных технологий, электронного обучения.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Массовое применение цифровых технологий в образовательном процессе способствует формированию цифровой среды, которая наряду с насыщением образовательной среды цифровым оборудованием, характеризуется созданием единого открытого информационно-образовательного пространства школы и свободного доступа к образовательным ресурсам, в котором происходит формирование у обучающихся новых качеств и умений.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Электронные средства обучения (ЭСО) принципиально меняют характер учебной деятельности обучающихся, способствуют повышению эффективности образования, открывают практически безграничные возможности для доступа к информации, ее визуализации.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Вместе с тем, новая цифровая образовательная среда характеризуется целым комплексом факторов, обладающих потенциально негативным эффектом воздействия на развитие и здоровье обучающихся, среди которых - интенсификация образовательной деятельности в условиях дефицита учебного времени, высокие зрительные и статические нагрузки.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lastRenderedPageBreak/>
        <w:t>Сегодня не вызывает сомнение тот факт, что причина различных функциональных нарушений связана с воздействием на организм обучающихся ЭСО.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Постоянное расширение и обновление электронных средств обучения определяет необходимость создания безопасных для здоровья обучающихся условий их использования.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Приказу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Минздрава России N 822н от 5.11.13 (ред. от 21.02.2020) "Об утверждении Порядка оказания медицинской помощи несовершеннолетним, в том числе в период обучения и воспитания в образовательных организациях" отделение медицинской помощи обучающимся осуществляет участие в контроле за соблюдением санитарно-гигиенических требований к условиям и организации воспитания и обучения, в гигиеническом контроле средств обучения и воспитания и их использования в образовательном процессе.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Деятельность медицинских работников по профилактике школьно-обусловленных заболеваний у обучающихся в современных условиях цифрового обучения возможна при сотрудничестве с администрацией и педагогами образовательной организации (ОО).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Настоящие методические рекомендации содержат материалы, представляющие содержание работы и программу мероприятий по предупреждению негативных воздействий использования электронных средств обучения на здоровье обучающихся для медицинских работников при участии администрации, педагогов ОО.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2. Содержание работы по профилактике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нарушений здоровья обучающихся на занятиях с использованием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компьютерных технологий и электронных средств обучения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 образовательных организациях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7652"/>
      </w:tblGrid>
      <w:tr w:rsidR="005B1FFE" w:rsidRPr="005B1FFE">
        <w:tc>
          <w:tcPr>
            <w:tcW w:w="1077" w:type="dxa"/>
            <w:vMerge w:val="restart"/>
            <w:tcBorders>
              <w:top w:val="nil"/>
              <w:bottom w:val="nil"/>
            </w:tcBorders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Гигиенический контроль использования ЭСО</w:t>
            </w:r>
          </w:p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(соответствие требованиям гигиенической безопасности)</w:t>
            </w:r>
          </w:p>
        </w:tc>
      </w:tr>
      <w:tr w:rsidR="005B1FFE" w:rsidRPr="005B1FFE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blPrEx>
          <w:tblBorders>
            <w:right w:val="nil"/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  <w:right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Оценка и контроль за соблюдением санитарно гигиенического требований к условиям обучения с использованием ЭСО</w:t>
            </w:r>
          </w:p>
        </w:tc>
      </w:tr>
      <w:tr w:rsidR="005B1FFE" w:rsidRPr="005B1FFE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blPrEx>
          <w:tblBorders>
            <w:right w:val="nil"/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  <w:right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Оценка и контроль за организацией учебного процесса с использованием ЭСО</w:t>
            </w:r>
          </w:p>
        </w:tc>
      </w:tr>
      <w:tr w:rsidR="005B1FFE" w:rsidRPr="005B1FFE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blPrEx>
          <w:tblBorders>
            <w:right w:val="nil"/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  <w:right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Гигиеническое обучение педагогов по вопросам предупреждения негативного влияния ЭСО на здоровье, профилактике школьно-обусловленных заболеваний</w:t>
            </w:r>
          </w:p>
        </w:tc>
      </w:tr>
      <w:tr w:rsidR="005B1FFE" w:rsidRPr="005B1FFE">
        <w:tc>
          <w:tcPr>
            <w:tcW w:w="1077" w:type="dxa"/>
            <w:vMerge/>
            <w:tcBorders>
              <w:top w:val="nil"/>
              <w:bottom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3. Программа мероприятий по профилактике нарушений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здоровья обучающихся на занятиях с использованием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компьютерных технологий и электронных средств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обучения в образовательных организациях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3.1. Обеспечение безопасных для здоровья обучающихся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условий обучения с использованием ЭСО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Электронные средства обучения (электронные доски, компьютеры, ноутбуки, планшеты и др.), электронные учебники и другие виды образовательных средств должны иметь сертификаты или иные документы, подтверждающие их соответствие требованиям Технических регламентов Таможенного союза &lt;1&gt; и Единым санитарно-эпидемиологическим и гигиеническим </w:t>
      </w:r>
      <w:hyperlink r:id="rId7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требованиям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к товарам, подлежащим санитарно-эпидемиологическому надзору/контролю &lt;2&gt;.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&lt;1&gt; Технический </w:t>
      </w:r>
      <w:hyperlink r:id="rId8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Таможенного союза ТР ТС 004/2011 "О безопасности низковольтного оборудования" On safety of low-voltage equipment; Технический </w:t>
      </w:r>
      <w:hyperlink r:id="rId9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Таможенного союза ТР ТС 020/2011 "Электромагнитная совместимость технических средств".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&lt;2&gt; Единые санитарно-эпидемиологические и гигиенические </w:t>
      </w:r>
      <w:hyperlink r:id="rId10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требования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к продукции (товарам), подлежащей санитарно-эпидемиологическому надзору (контролю).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Медицинский работник ОО принимает участие совместно с представителями Федеральной службы по надзору в сфере защиты прав потребителей и благополучия человека (Роспотребнадзор), руководством и педагогами ОО в осуществлении контроля в динамике учебного года за состоянием учебных кабинетов, оборудованных ЭСО, и условиями эксплуатации ЭСО. Рекомендуемая номенклатура, объем и периодичность проведения лабораторных исследований приведены в </w:t>
      </w:r>
      <w:hyperlink w:anchor="P193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5B1FFE">
        <w:rPr>
          <w:rFonts w:ascii="Times New Roman" w:hAnsi="Times New Roman" w:cs="Times New Roman"/>
          <w:sz w:val="24"/>
          <w:szCs w:val="24"/>
        </w:rPr>
        <w:t>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Гигиенические нормативы основных параметров внутришкольной среды, оборудования, расстановки мебели в учебных помещениях представлены в </w:t>
      </w:r>
      <w:hyperlink w:anchor="P233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Приложении 2</w:t>
        </w:r>
      </w:hyperlink>
      <w:r w:rsidRPr="005B1FFE">
        <w:rPr>
          <w:rFonts w:ascii="Times New Roman" w:hAnsi="Times New Roman" w:cs="Times New Roman"/>
          <w:sz w:val="24"/>
          <w:szCs w:val="24"/>
        </w:rPr>
        <w:t>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Контроль температуры воздуха учебного помещения проводится ежедневно в динамике учебного дня с помощью термометра для измерения температуры в помещении. Контролируется наличие графика проветривания класса и регулярность его выполнения. Проветривание в присутствии обучающихся не проводится.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Учебные помещения, в которых размещаются рабочие места с персональными компьютерами (ПК), необходимо оборудовать защитным заземлением (занулением) в соответствии с техническими требованиями по эксплуатации. Для размещения персональных компьютеров необходимо использовать одноместные столы, предназначенные для работы с данной цифровой техникой. Рабочее место (стол, стул) должно соответствовать росту обучающегося, а конструкция рабочего стола - обеспечивать оптимальное размещение на рабочей поверхности используемого оборудования.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Необходимо предусмотреть естественное и искусственное (общее и местное) освещение на рабочем столе. Источник местного освещения должен находится слева/справа от экрана ЭСО. Освещение не должно создавать бликов на поверхности экрана. В соответствии с гигиеническими требованиями рабочие столы с ПК размещаются таким образом, чтобы компьютеры были ориентированы боковой стороной к световым проемам и естественный свет падал преимущественно слева от ПК (в виде исключения возможно справа). Запрещается размещать монитор компьютера задней панелью к световому проему во избежание ослепления пользователя ярким светом. Не рекомендуется располагать монитор компьютера, обращенным к окну: экран будет отсвечивать. В обоих случаях это может повлечь за собой напряжение зрительного анализатора.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lastRenderedPageBreak/>
        <w:t>Расстояние между столами с ПК (в направлении задней поверхности одного монитора и экрана другого монитора) должно быть не менее 2,0 м; расстояние между боковыми поверхностями - не менее 1,2 м. Экран монитора должен находиться от глаз пользователя на расстоянии не менее 50 см.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Расстановка рабочих мест с ПК может быть периметральной (вдоль стен по периметру помещения), рядами (1, 2 или 3-х рядная - аналогично расположению учебных парт в обычном классе), центральной (столы с ПК расположены в центре класса задними поверхностями мониторов друг к другу). При расстановке столов рядами наибольшее количество рабочих мест обеспечивается оптимальным уровнем естественного освещения. Использование мониторов на основе электронно-лучевых трубок не допускается.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Размещение интерактивной доски (панели) в учебном помещении должно обеспечивать благоприятные условия для зрительной работы обучающихся. При выборе места для доски необходимо руководствоваться теми же правилами, что и в случае с обычной меловой доской. Интерактивная доска (панель) должна быть расположена по центру фронтальной стены учебного помещения.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Установка проектора для интерактивной доски проекционного типа ("прямой" проекции) должна обеспечивать условия, при которых его луч не слепит пользователя и его тень не мешает при работе с изображением на доске. Таким преимуществом обладают интерактивные доски "обратной" проекции с проектором, расположенным позади доски.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Визуальная информация на доске должна иметь высокую контрастность. Оконные проемы в учебных помещениях с ЭСО, рекомендуется оборудовать светорегулируемыми устройствами.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Использование ноутбука в учебном процессе 1 - 4-х классов рекомендуется при наличии дополнительной (выносной) клавиатуры, поскольку у младших школьников не обеспечивается возможность соблюдения оптимальной рабочей позы. Конструктивные особенности ноутбука: жесткое крепление монитора и клавиатуры - формируют у обучающихся начальных классов вынужденную позу, для которой характерна работа на близком расстоянии, что является дополнительным фактором риска развития нарушения зрения и костно-мышечной системы.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Использование планшетов предполагает их размещение на столе на специальной подставке под углом наклона 30°.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Минимальная диагональ монитора персонального компьютера и ноутбука должна быть не менее 39,6 см, планшета - 26,6 см, интерактивной доски - 165,1 см.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 необходимости использовать наушники предпочтение следует отдавать накладным моделям. Время непрерывного использования наушников для всех возрастных групп не должно превышать 1 часа.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Смартфоны запрещены для использования в образовательных целях.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 использовании ЭСО необходимо ежедневно дезинфицировать экран, клавиатуру, компьютерную мышь в соответствии с принятыми гигиеническими рекомендациями.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По итогам контроля размещения, условий применения, содержания ЭСО фиксируются замечания и обосновываются рекомендации по их устранению. Контроль за исправлением недостатков, выявленных при обследовании, проводится в течение 2-х недель с момента установления этих нарушений.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lastRenderedPageBreak/>
        <w:t>3.2. Физиолого-гигиеническая оптимизация учебного процесса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с использованием электронных средств обучения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Регламентированное использование ЭСО на уроках - залог высокой успешности обучения, предотвращения развития переутомления обучающихся.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Медицинский работник ОО совместно с руководством и педагогами осуществляет контроль за организацией образовательного процесса.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Утомительность учебных занятий с использованием ЭСО зависит от длительности и интенсивности работы. Непрерывная и суммарная продолжительность использования различных типов ЭСО на занятиях должна соответствовать гигиеническим нормативам </w:t>
      </w:r>
      <w:hyperlink w:anchor="P375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(Приложение 3)</w:t>
        </w:r>
      </w:hyperlink>
      <w:r w:rsidRPr="005B1FFE">
        <w:rPr>
          <w:rFonts w:ascii="Times New Roman" w:hAnsi="Times New Roman" w:cs="Times New Roman"/>
          <w:sz w:val="24"/>
          <w:szCs w:val="24"/>
        </w:rPr>
        <w:t>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Одновременное использование обучающимися на уроке более двух различных ЭСО не рекомендуется.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Интенсивность учебной деятельности определяют по показателю общей плотности урока (отношение времени, в течение которого обучающийся занят учебной работой, ко времени всего занятия, выраженное в процентах). Важным гигиеническим показателем урока является количество смен видов деятельности. Рекомендуется проведение физкультминуток в процессе учебной деятельности для профилактики зрительного утомления. Доказано положительное влияние физкультминуток </w:t>
      </w:r>
      <w:hyperlink w:anchor="P441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(Приложение 4)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на состояние органа зрения и снижение утомительности учебной работы.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Гигиеническая оценка урока в условиях применения ЭСО проводится на основе результатов анкетирования педагогов </w:t>
      </w:r>
      <w:hyperlink w:anchor="P492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(Приложение 5)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с оценкой каждого показателя организации урока в баллах (табл. 1) и заполнением протокола </w:t>
      </w:r>
      <w:hyperlink w:anchor="P133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(табл. 2)</w:t>
        </w:r>
      </w:hyperlink>
      <w:r w:rsidRPr="005B1FFE">
        <w:rPr>
          <w:rFonts w:ascii="Times New Roman" w:hAnsi="Times New Roman" w:cs="Times New Roman"/>
          <w:sz w:val="24"/>
          <w:szCs w:val="24"/>
        </w:rPr>
        <w:t>. Итоговый балл соответствует уровню гигиенической рациональности урока.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Таблица 1 - Оптимальные показатели организации урока с использованием ЭСО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282"/>
        <w:gridCol w:w="1925"/>
        <w:gridCol w:w="1358"/>
        <w:gridCol w:w="2002"/>
      </w:tblGrid>
      <w:tr w:rsidR="005B1FFE" w:rsidRPr="005B1FFE">
        <w:tc>
          <w:tcPr>
            <w:tcW w:w="2494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Показатели организации урока</w:t>
            </w:r>
          </w:p>
        </w:tc>
        <w:tc>
          <w:tcPr>
            <w:tcW w:w="6567" w:type="dxa"/>
            <w:gridSpan w:val="4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Уровни гигиенической рациональности урока</w:t>
            </w:r>
          </w:p>
        </w:tc>
      </w:tr>
      <w:tr w:rsidR="005B1FFE" w:rsidRPr="005B1FFE">
        <w:tc>
          <w:tcPr>
            <w:tcW w:w="2494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Рациональный</w:t>
            </w:r>
          </w:p>
        </w:tc>
        <w:tc>
          <w:tcPr>
            <w:tcW w:w="3360" w:type="dxa"/>
            <w:gridSpan w:val="2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Нерациональный</w:t>
            </w:r>
          </w:p>
        </w:tc>
      </w:tr>
      <w:tr w:rsidR="005B1FFE" w:rsidRPr="005B1FFE">
        <w:tc>
          <w:tcPr>
            <w:tcW w:w="2494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7" w:type="dxa"/>
            <w:gridSpan w:val="4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Оценочные баллы</w:t>
            </w:r>
          </w:p>
        </w:tc>
      </w:tr>
      <w:tr w:rsidR="005B1FFE" w:rsidRPr="005B1FFE">
        <w:tc>
          <w:tcPr>
            <w:tcW w:w="2494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360" w:type="dxa"/>
            <w:gridSpan w:val="2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5B1FFE" w:rsidRPr="005B1FFE">
        <w:tc>
          <w:tcPr>
            <w:tcW w:w="2494" w:type="dxa"/>
            <w:vMerge w:val="restart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1. Плотность урока</w:t>
            </w:r>
          </w:p>
        </w:tc>
        <w:tc>
          <w:tcPr>
            <w:tcW w:w="1282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92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Средние/старшие классы</w:t>
            </w:r>
          </w:p>
        </w:tc>
        <w:tc>
          <w:tcPr>
            <w:tcW w:w="135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02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Средние/старшие классы</w:t>
            </w:r>
          </w:p>
        </w:tc>
      </w:tr>
      <w:tr w:rsidR="005B1FFE" w:rsidRPr="005B1FFE">
        <w:tc>
          <w:tcPr>
            <w:tcW w:w="2494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60 - 80%</w:t>
            </w:r>
          </w:p>
        </w:tc>
        <w:tc>
          <w:tcPr>
            <w:tcW w:w="192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более 90%</w:t>
            </w:r>
          </w:p>
        </w:tc>
        <w:tc>
          <w:tcPr>
            <w:tcW w:w="135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Более 80%</w:t>
            </w:r>
          </w:p>
        </w:tc>
        <w:tc>
          <w:tcPr>
            <w:tcW w:w="2002" w:type="dxa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</w:tr>
      <w:tr w:rsidR="005B1FFE" w:rsidRPr="005B1FFE">
        <w:tc>
          <w:tcPr>
            <w:tcW w:w="2494" w:type="dxa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2. Кол-во смен видов учебной деятельности на уроке</w:t>
            </w:r>
          </w:p>
        </w:tc>
        <w:tc>
          <w:tcPr>
            <w:tcW w:w="3207" w:type="dxa"/>
            <w:gridSpan w:val="2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</w:p>
        </w:tc>
        <w:tc>
          <w:tcPr>
            <w:tcW w:w="3360" w:type="dxa"/>
            <w:gridSpan w:val="2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более 7</w:t>
            </w:r>
          </w:p>
        </w:tc>
      </w:tr>
      <w:tr w:rsidR="005B1FFE" w:rsidRPr="005B1FFE">
        <w:tc>
          <w:tcPr>
            <w:tcW w:w="2494" w:type="dxa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3. Непрерывное время использования ЭСО</w:t>
            </w:r>
          </w:p>
        </w:tc>
        <w:tc>
          <w:tcPr>
            <w:tcW w:w="3207" w:type="dxa"/>
            <w:gridSpan w:val="2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соответствует гигиеническим нормативам</w:t>
            </w:r>
          </w:p>
        </w:tc>
        <w:tc>
          <w:tcPr>
            <w:tcW w:w="3360" w:type="dxa"/>
            <w:gridSpan w:val="2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соответствует гигиеническим нормативам</w:t>
            </w:r>
          </w:p>
        </w:tc>
      </w:tr>
      <w:tr w:rsidR="005B1FFE" w:rsidRPr="005B1FFE">
        <w:tc>
          <w:tcPr>
            <w:tcW w:w="2494" w:type="dxa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4. Суммарное время использования ЭСО</w:t>
            </w:r>
          </w:p>
        </w:tc>
        <w:tc>
          <w:tcPr>
            <w:tcW w:w="3207" w:type="dxa"/>
            <w:gridSpan w:val="2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соответствует гигиеническим нормативам</w:t>
            </w:r>
          </w:p>
        </w:tc>
        <w:tc>
          <w:tcPr>
            <w:tcW w:w="3360" w:type="dxa"/>
            <w:gridSpan w:val="2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соответствует гигиеническим нормативам</w:t>
            </w:r>
          </w:p>
        </w:tc>
      </w:tr>
      <w:tr w:rsidR="005B1FFE" w:rsidRPr="005B1FFE">
        <w:tc>
          <w:tcPr>
            <w:tcW w:w="2494" w:type="dxa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Наличие физических упражнений, для профилактики зрительного и общего утомления</w:t>
            </w:r>
          </w:p>
        </w:tc>
        <w:tc>
          <w:tcPr>
            <w:tcW w:w="3207" w:type="dxa"/>
            <w:gridSpan w:val="2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  <w:tc>
          <w:tcPr>
            <w:tcW w:w="3360" w:type="dxa"/>
            <w:gridSpan w:val="2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3"/>
      <w:bookmarkEnd w:id="0"/>
      <w:r w:rsidRPr="005B1FFE">
        <w:rPr>
          <w:rFonts w:ascii="Times New Roman" w:hAnsi="Times New Roman" w:cs="Times New Roman"/>
          <w:sz w:val="24"/>
          <w:szCs w:val="24"/>
        </w:rPr>
        <w:t>Таблица 2 - Форма протокола гигиенической оценки урока с использованием ЭСО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5B1FFE" w:rsidRPr="005B1FFE">
        <w:tc>
          <w:tcPr>
            <w:tcW w:w="5669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Показатели организации урока</w:t>
            </w:r>
          </w:p>
        </w:tc>
        <w:tc>
          <w:tcPr>
            <w:tcW w:w="3402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5B1FFE" w:rsidRPr="005B1FFE">
        <w:tc>
          <w:tcPr>
            <w:tcW w:w="5669" w:type="dxa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1. Плотность урока</w:t>
            </w:r>
          </w:p>
        </w:tc>
        <w:tc>
          <w:tcPr>
            <w:tcW w:w="3402" w:type="dxa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c>
          <w:tcPr>
            <w:tcW w:w="5669" w:type="dxa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2. Кол-во смен видов учебной деятельности на уроке</w:t>
            </w:r>
          </w:p>
        </w:tc>
        <w:tc>
          <w:tcPr>
            <w:tcW w:w="3402" w:type="dxa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c>
          <w:tcPr>
            <w:tcW w:w="5669" w:type="dxa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3. Непрерывное время использования ЭСО</w:t>
            </w:r>
          </w:p>
        </w:tc>
        <w:tc>
          <w:tcPr>
            <w:tcW w:w="3402" w:type="dxa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c>
          <w:tcPr>
            <w:tcW w:w="5669" w:type="dxa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4. Суммарное время использования ЭСО</w:t>
            </w:r>
          </w:p>
        </w:tc>
        <w:tc>
          <w:tcPr>
            <w:tcW w:w="3402" w:type="dxa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c>
          <w:tcPr>
            <w:tcW w:w="5669" w:type="dxa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5. Наличие комплекса упражнений, направленных на профилактику зрительного и общего утомления</w:t>
            </w:r>
          </w:p>
        </w:tc>
        <w:tc>
          <w:tcPr>
            <w:tcW w:w="3402" w:type="dxa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c>
          <w:tcPr>
            <w:tcW w:w="5669" w:type="dxa"/>
            <w:vAlign w:val="center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3402" w:type="dxa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 зависимости от значения итогового балла выделяют: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- гигиенически рациональный урок - 5 баллов;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- недостаточно рациональный урок - 3 - 4 балла (при условии оценивания каждого из показателей урока N 1, N 3, N 4 в 1 балл);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- гигиенически нерациональный урок - 2 балла и менее.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Предложенную методику гигиенической оценки урока с использованием ЭОС целесообразно использовать медицинскими работниками ОО для выявления факторов организации урока, способствующих переутомлению обучающихся с целью снижения риска возникновения школьно-обусловленных заболеваний.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Контроль исправления выявленных недостатков проводят в течение 2-х недель с момента установления нарушений.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3.3. Гигиеническое обучение педагогов по вопросам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предупреждения негативного влияния ЭСО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на здоровье обучающихся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Медицинским работникам ОО необходимо постоянно актуализировать знания по безопасному для здоровья обучающихся использованию ЭСО в связи с их совершенствованием и разработкой новых типов. Сопровождение медицинскими работниками учебного процесса в условиях применения ЭСО неразрывно связано с обучением администрации и педагогического коллектива технологиям создания безопасных для здоровья обучающихся условий.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Для организации уроков с ЭСО педагогам рекомендовано использование Памятки </w:t>
      </w:r>
      <w:r w:rsidRPr="005B1FFE">
        <w:rPr>
          <w:rFonts w:ascii="Times New Roman" w:hAnsi="Times New Roman" w:cs="Times New Roman"/>
          <w:sz w:val="24"/>
          <w:szCs w:val="24"/>
        </w:rPr>
        <w:lastRenderedPageBreak/>
        <w:t xml:space="preserve">"Гигиенические рекомендации по организации образовательного процесса с использованием ЭСО" </w:t>
      </w:r>
      <w:hyperlink w:anchor="P545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(Приложение 6)</w:t>
        </w:r>
      </w:hyperlink>
      <w:r w:rsidRPr="005B1FFE">
        <w:rPr>
          <w:rFonts w:ascii="Times New Roman" w:hAnsi="Times New Roman" w:cs="Times New Roman"/>
          <w:sz w:val="24"/>
          <w:szCs w:val="24"/>
        </w:rPr>
        <w:t>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Выполнение педагогами под контролем медицинских работников комплекса мероприятий, включающих создание и поддержание оптимальных условий внутришкольной среды, гигиенический контроль соответствия ЭСО требованиям гигиенической безопасности, соблюдение регламентов использования ЭСО на уроке, рациональная организация урока, постоянная актуализация гигиенических знаний по использованию ЭСО в образовательном процессе, способствует обеспечению безопасных для здоровья обучающихся условий обучения, профилактике возникновения нарушений здоровья в условиях цифровизации образовательного процесса.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4. Список нормативных и методических документов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1. Федеральный </w:t>
      </w:r>
      <w:hyperlink r:id="rId11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от 29.12.2012 N 273-ФЗ "Об образовании в Российской Федерации" (ред. от 11.06.2021)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2. Федеральный </w:t>
      </w:r>
      <w:hyperlink r:id="rId12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от 30.03.1999 N 52-ФЗ "О санитарно-эпидемиологическом благополучии населения".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3. </w:t>
      </w:r>
      <w:hyperlink r:id="rId13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"О национальных целях и стратегических задачах развития Российской Федерации на период до 2024 года.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4. Декларация "О праве детей на здоровье в цифровой образовательной среде" VI национального конгресса по школьной и университетской медицине с международным участием//Вопросы школьной и университетской медицины и здоровья. 2018; 4: 53 - 55.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5. Технический </w:t>
      </w:r>
      <w:hyperlink r:id="rId14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Таможенного союза ТР ТС 004/2011 "О безопасности низковольтного оборудования" On safety of low-voltage equipment.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6. Единые санитарно-эпидемиологические и гигиенические </w:t>
      </w:r>
      <w:hyperlink r:id="rId15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требования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к продукции (товарам), подлежащей санитарно-эпидемиологическому надзору (контролю).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7. Технический </w:t>
      </w:r>
      <w:hyperlink r:id="rId16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Таможенного союза ТР ТС 020/2011 "Электромагнитная совместимость технических средств".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8. </w:t>
      </w:r>
      <w:hyperlink r:id="rId17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Минздрава России от 5.11.13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9. Санитарные правила </w:t>
      </w:r>
      <w:hyperlink r:id="rId18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СП 2.4.3648-20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организации воспитания и обучения, отдыха и оздоровления детей и молодежи".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10. Санитарные </w:t>
      </w:r>
      <w:hyperlink r:id="rId19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правила и нормы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11. "Методические рекомендации по обеспечению санитарно-эпидемиологических требований к организации воспитания и обучения, отдыха и оздоровления детей и молодежи" </w:t>
      </w:r>
      <w:hyperlink r:id="rId20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МР 2.4.0242-21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от 17.05.2021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5. Приложение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(Извлечение из </w:t>
      </w:r>
      <w:hyperlink r:id="rId21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МР 2.4.0242-21</w:t>
        </w:r>
      </w:hyperlink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"Методические рекомендации по обеспечению</w:t>
      </w: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организации</w:t>
      </w: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</w:t>
      </w: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и молодежи" от 17.05.2021)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3"/>
      <w:bookmarkEnd w:id="1"/>
      <w:r w:rsidRPr="005B1FFE">
        <w:rPr>
          <w:rFonts w:ascii="Times New Roman" w:hAnsi="Times New Roman" w:cs="Times New Roman"/>
          <w:sz w:val="24"/>
          <w:szCs w:val="24"/>
        </w:rPr>
        <w:t>РЕКОМЕНДУЕМАЯ НОМЕНКЛАТУРА, ОБЪЕМ И ПЕРИОДИЧНОСТЬ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ПРОВЕДЕНИЯ ЛАБОРАТОРНЫХ И ИНСТРУМЕНТАЛЬНЫХ ИССЛЕДОВАНИЙ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 ОРГАНИЗАЦИЯХ ВОСПИТАНИЯ И ОБУЧЕНИЯ, ОТДЫХА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И ОЗДОРОВЛЕНИЯ ДЕТЕЙ И МОЛОДЕЖИ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438"/>
        <w:gridCol w:w="1814"/>
        <w:gridCol w:w="2608"/>
      </w:tblGrid>
      <w:tr w:rsidR="005B1FFE" w:rsidRPr="005B1FFE">
        <w:tc>
          <w:tcPr>
            <w:tcW w:w="221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Вид исследований</w:t>
            </w:r>
          </w:p>
        </w:tc>
        <w:tc>
          <w:tcPr>
            <w:tcW w:w="243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</w:tr>
      <w:tr w:rsidR="005B1FFE" w:rsidRPr="005B1FFE">
        <w:tc>
          <w:tcPr>
            <w:tcW w:w="2211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Оценка параметров микроклимата (температура, относительная влажность)</w:t>
            </w:r>
          </w:p>
        </w:tc>
        <w:tc>
          <w:tcPr>
            <w:tcW w:w="243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Классы, кабинеты, спортивный зал, мастерские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менее 10% помещений</w:t>
            </w:r>
          </w:p>
        </w:tc>
        <w:tc>
          <w:tcPr>
            <w:tcW w:w="260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 раза в год (в холодный и теплый периоды)</w:t>
            </w:r>
          </w:p>
        </w:tc>
      </w:tr>
      <w:tr w:rsidR="005B1FFE" w:rsidRPr="005B1FFE">
        <w:tc>
          <w:tcPr>
            <w:tcW w:w="2211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Оценка состояния воздушной среды помещений</w:t>
            </w:r>
          </w:p>
        </w:tc>
        <w:tc>
          <w:tcPr>
            <w:tcW w:w="243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Классы, кабинеты, классы ПЭВМ, мастерские, залы спортивный, музыкальный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менее 10% помещений</w:t>
            </w:r>
          </w:p>
        </w:tc>
        <w:tc>
          <w:tcPr>
            <w:tcW w:w="260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После ремонтных работ, установки новой мебели</w:t>
            </w:r>
          </w:p>
        </w:tc>
      </w:tr>
      <w:tr w:rsidR="005B1FFE" w:rsidRPr="005B1FFE">
        <w:tc>
          <w:tcPr>
            <w:tcW w:w="2211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Контроль уровня искусственной освещенности, пульсации</w:t>
            </w:r>
          </w:p>
        </w:tc>
        <w:tc>
          <w:tcPr>
            <w:tcW w:w="243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Классы, кабинеты, оборудованные персональными ЭСО, мастерские, залы спортивный, музыкальный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менее 20% помещений</w:t>
            </w:r>
          </w:p>
        </w:tc>
        <w:tc>
          <w:tcPr>
            <w:tcW w:w="260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 раз в год, в темное время суток</w:t>
            </w:r>
          </w:p>
        </w:tc>
      </w:tr>
      <w:tr w:rsidR="005B1FFE" w:rsidRPr="005B1FFE">
        <w:tc>
          <w:tcPr>
            <w:tcW w:w="2211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Оценка параметров электрических, магнитных, электромагнитных полей</w:t>
            </w:r>
          </w:p>
        </w:tc>
        <w:tc>
          <w:tcPr>
            <w:tcW w:w="243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Классы и кабинеты с ЭСО, мастерские (при наличии ЭСО)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менее 20% классов и кабинетов, 100% мастерских</w:t>
            </w:r>
          </w:p>
        </w:tc>
        <w:tc>
          <w:tcPr>
            <w:tcW w:w="260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B1FFE" w:rsidRPr="005B1FFE">
        <w:tc>
          <w:tcPr>
            <w:tcW w:w="2211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Оценка параметров шума</w:t>
            </w:r>
          </w:p>
        </w:tc>
        <w:tc>
          <w:tcPr>
            <w:tcW w:w="243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Классы и кабинеты с ЭСО, мастерские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менее 10% помещений, подлежащих оценке</w:t>
            </w:r>
          </w:p>
        </w:tc>
        <w:tc>
          <w:tcPr>
            <w:tcW w:w="260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5B1FFE" w:rsidRPr="005B1FFE">
        <w:tc>
          <w:tcPr>
            <w:tcW w:w="2211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соответствия ученической мебели росто-возрастным особенностям детей </w:t>
            </w:r>
            <w:r w:rsidRPr="005B1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требованиям эргономики</w:t>
            </w:r>
          </w:p>
        </w:tc>
        <w:tc>
          <w:tcPr>
            <w:tcW w:w="243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Классы, кабинеты, игровые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менее 20% помещений</w:t>
            </w:r>
          </w:p>
        </w:tc>
        <w:tc>
          <w:tcPr>
            <w:tcW w:w="2608" w:type="dxa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33"/>
      <w:bookmarkEnd w:id="2"/>
      <w:r w:rsidRPr="005B1FFE">
        <w:rPr>
          <w:rFonts w:ascii="Times New Roman" w:hAnsi="Times New Roman" w:cs="Times New Roman"/>
          <w:sz w:val="24"/>
          <w:szCs w:val="24"/>
        </w:rPr>
        <w:t>ГИГИЕНИЧЕСКИЕ НОРМАТИВЫ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ОСНОВНЫХ ПАРАМЕТРОВ ВНУТРИШКОЛЬНОЙ СРЕДЫ,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ОБОРУДОВАНИЯ, РАССТАНОВКИ МЕБЕЛИ В УЧЕБНЫХ ПОМЕЩЕНИЯ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(Извлечение из Санитарных правил и норм</w:t>
      </w:r>
    </w:p>
    <w:p w:rsidR="005B1FFE" w:rsidRPr="005B1FFE" w:rsidRDefault="009B57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hyperlink r:id="rId22">
        <w:r w:rsidR="005B1FFE" w:rsidRPr="005B1FFE">
          <w:rPr>
            <w:rFonts w:ascii="Times New Roman" w:hAnsi="Times New Roman" w:cs="Times New Roman"/>
            <w:color w:val="0000FF"/>
            <w:sz w:val="24"/>
            <w:szCs w:val="24"/>
          </w:rPr>
          <w:t>СаНПиН 1.2.3685-21</w:t>
        </w:r>
      </w:hyperlink>
      <w:r w:rsidR="005B1FFE" w:rsidRPr="005B1FFE">
        <w:rPr>
          <w:rFonts w:ascii="Times New Roman" w:hAnsi="Times New Roman" w:cs="Times New Roman"/>
          <w:sz w:val="24"/>
          <w:szCs w:val="24"/>
        </w:rPr>
        <w:t xml:space="preserve"> "Гигиенические нормативы и требования</w:t>
      </w: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к обеспечению безопасности и (или) безвредности</w:t>
      </w: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для человека факторов среды обитания")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Нормативы площадей помещений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5B1FFE" w:rsidRPr="005B1FFE">
        <w:tc>
          <w:tcPr>
            <w:tcW w:w="652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255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Норматив, не менее</w:t>
            </w:r>
          </w:p>
        </w:tc>
      </w:tr>
      <w:tr w:rsidR="005B1FFE" w:rsidRPr="005B1FFE">
        <w:tc>
          <w:tcPr>
            <w:tcW w:w="652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Учебные помещения, кабинеты, аудитории при фронтальных видах занятий</w:t>
            </w:r>
          </w:p>
        </w:tc>
        <w:tc>
          <w:tcPr>
            <w:tcW w:w="255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2,5 м</w:t>
            </w:r>
            <w:r w:rsidRPr="005B1F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5B1FFE" w:rsidRPr="005B1FFE">
        <w:tc>
          <w:tcPr>
            <w:tcW w:w="652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Учебные помещения, кабинеты, аудитории при организации групповых форм работы и индивидуальных занятий</w:t>
            </w:r>
          </w:p>
        </w:tc>
        <w:tc>
          <w:tcPr>
            <w:tcW w:w="255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3,5 м</w:t>
            </w:r>
            <w:r w:rsidRPr="005B1F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5B1FFE" w:rsidRPr="005B1FFE">
        <w:tc>
          <w:tcPr>
            <w:tcW w:w="652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Помещения, оборудованные индивидуальными рабочими местами с персональным компьютером</w:t>
            </w:r>
          </w:p>
        </w:tc>
        <w:tc>
          <w:tcPr>
            <w:tcW w:w="255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4,5 м</w:t>
            </w:r>
            <w:r w:rsidRPr="005B1F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/рабочее место</w:t>
            </w: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Требования к расстановке мебели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515"/>
        <w:gridCol w:w="2381"/>
      </w:tblGrid>
      <w:tr w:rsidR="005B1FFE" w:rsidRPr="005B1FFE">
        <w:tc>
          <w:tcPr>
            <w:tcW w:w="6690" w:type="dxa"/>
            <w:gridSpan w:val="2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38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5B1FFE" w:rsidRPr="005B1FFE">
        <w:tc>
          <w:tcPr>
            <w:tcW w:w="6690" w:type="dxa"/>
            <w:gridSpan w:val="2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Минимальные разрывы, расстояния, не менее</w:t>
            </w:r>
          </w:p>
        </w:tc>
        <w:tc>
          <w:tcPr>
            <w:tcW w:w="2381" w:type="dxa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c>
          <w:tcPr>
            <w:tcW w:w="3175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Мебель в учебном помещении</w:t>
            </w:r>
          </w:p>
        </w:tc>
        <w:tc>
          <w:tcPr>
            <w:tcW w:w="351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между столами и стенами</w:t>
            </w:r>
          </w:p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(светонесущей и противоположной светонесущей)</w:t>
            </w:r>
          </w:p>
        </w:tc>
        <w:tc>
          <w:tcPr>
            <w:tcW w:w="238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</w:p>
        </w:tc>
      </w:tr>
      <w:tr w:rsidR="005B1FFE" w:rsidRPr="005B1FFE">
        <w:tc>
          <w:tcPr>
            <w:tcW w:w="3175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между рядами столов</w:t>
            </w:r>
          </w:p>
        </w:tc>
        <w:tc>
          <w:tcPr>
            <w:tcW w:w="238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</w:p>
        </w:tc>
      </w:tr>
      <w:tr w:rsidR="005B1FFE" w:rsidRPr="005B1FFE">
        <w:tc>
          <w:tcPr>
            <w:tcW w:w="3175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от учебной доски до первого ряда столов</w:t>
            </w:r>
          </w:p>
        </w:tc>
        <w:tc>
          <w:tcPr>
            <w:tcW w:w="238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240 см</w:t>
            </w:r>
          </w:p>
        </w:tc>
      </w:tr>
      <w:tr w:rsidR="005B1FFE" w:rsidRPr="005B1FFE">
        <w:tc>
          <w:tcPr>
            <w:tcW w:w="6690" w:type="dxa"/>
            <w:gridSpan w:val="2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Наибольшая удаленность от учебной доски до последнего ряда столов</w:t>
            </w:r>
          </w:p>
        </w:tc>
        <w:tc>
          <w:tcPr>
            <w:tcW w:w="238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не более 860 см</w:t>
            </w:r>
          </w:p>
        </w:tc>
      </w:tr>
      <w:tr w:rsidR="005B1FFE" w:rsidRPr="005B1FFE">
        <w:tc>
          <w:tcPr>
            <w:tcW w:w="3175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 xml:space="preserve">Угол видимости учебной </w:t>
            </w:r>
            <w:r w:rsidRPr="005B1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доски</w:t>
            </w:r>
          </w:p>
        </w:tc>
        <w:tc>
          <w:tcPr>
            <w:tcW w:w="351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1 - 4 классы</w:t>
            </w:r>
          </w:p>
        </w:tc>
        <w:tc>
          <w:tcPr>
            <w:tcW w:w="238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45°</w:t>
            </w:r>
          </w:p>
        </w:tc>
      </w:tr>
      <w:tr w:rsidR="005B1FFE" w:rsidRPr="005B1FFE">
        <w:tc>
          <w:tcPr>
            <w:tcW w:w="3175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5 - 11 классы</w:t>
            </w:r>
          </w:p>
        </w:tc>
        <w:tc>
          <w:tcPr>
            <w:tcW w:w="238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35°</w:t>
            </w:r>
          </w:p>
        </w:tc>
      </w:tr>
      <w:tr w:rsidR="005B1FFE" w:rsidRPr="005B1FFE">
        <w:tc>
          <w:tcPr>
            <w:tcW w:w="6690" w:type="dxa"/>
            <w:gridSpan w:val="2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Высота нижнего края учебной доски над полом</w:t>
            </w:r>
          </w:p>
        </w:tc>
        <w:tc>
          <w:tcPr>
            <w:tcW w:w="238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70 - 90 см</w:t>
            </w: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Допустимые величины параметров микроклимата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8"/>
        <w:gridCol w:w="1814"/>
        <w:gridCol w:w="2154"/>
        <w:gridCol w:w="2268"/>
      </w:tblGrid>
      <w:tr w:rsidR="005B1FFE" w:rsidRPr="005B1FFE">
        <w:tc>
          <w:tcPr>
            <w:tcW w:w="280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Допустимая температура воздуха (°C)</w:t>
            </w:r>
          </w:p>
        </w:tc>
        <w:tc>
          <w:tcPr>
            <w:tcW w:w="215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Относительная влажность воздуха, %</w:t>
            </w:r>
          </w:p>
        </w:tc>
        <w:tc>
          <w:tcPr>
            <w:tcW w:w="226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Скорость движения воздуха, м/с (не более)</w:t>
            </w:r>
          </w:p>
        </w:tc>
      </w:tr>
      <w:tr w:rsidR="005B1FFE" w:rsidRPr="005B1FFE">
        <w:tc>
          <w:tcPr>
            <w:tcW w:w="280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Учебные помещения, кабинеты аудитории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18 - 24</w:t>
            </w:r>
          </w:p>
        </w:tc>
        <w:tc>
          <w:tcPr>
            <w:tcW w:w="215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40 - 60</w:t>
            </w:r>
          </w:p>
        </w:tc>
        <w:tc>
          <w:tcPr>
            <w:tcW w:w="226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B1FFE" w:rsidRPr="005B1FFE">
        <w:tc>
          <w:tcPr>
            <w:tcW w:w="280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Помещения, оборудованные индивидуальными рабочими местами с персональным компьютером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18 - 24</w:t>
            </w:r>
          </w:p>
        </w:tc>
        <w:tc>
          <w:tcPr>
            <w:tcW w:w="215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55 - 62</w:t>
            </w:r>
          </w:p>
        </w:tc>
        <w:tc>
          <w:tcPr>
            <w:tcW w:w="226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B1FFE" w:rsidRPr="005B1FFE">
        <w:tc>
          <w:tcPr>
            <w:tcW w:w="280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Помещение для самоподготовки</w:t>
            </w:r>
          </w:p>
        </w:tc>
        <w:tc>
          <w:tcPr>
            <w:tcW w:w="181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18 - 24</w:t>
            </w:r>
          </w:p>
        </w:tc>
        <w:tc>
          <w:tcPr>
            <w:tcW w:w="215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40 - 60</w:t>
            </w:r>
          </w:p>
        </w:tc>
        <w:tc>
          <w:tcPr>
            <w:tcW w:w="226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B1FFE" w:rsidRPr="005B1FFE" w:rsidRDefault="005B1F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(продолжение)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Гигиенические нормативы показателей искусственного освещения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414"/>
        <w:gridCol w:w="850"/>
        <w:gridCol w:w="854"/>
        <w:gridCol w:w="1020"/>
        <w:gridCol w:w="1680"/>
      </w:tblGrid>
      <w:tr w:rsidR="005B1FFE" w:rsidRPr="005B1FFE">
        <w:tc>
          <w:tcPr>
            <w:tcW w:w="2211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2414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Рабочая поверхность и плоскость нормирования освещенности (Г - горизонтальная, В - вертикальная) и высота плоскости над полом, м</w:t>
            </w:r>
          </w:p>
        </w:tc>
        <w:tc>
          <w:tcPr>
            <w:tcW w:w="2724" w:type="dxa"/>
            <w:gridSpan w:val="3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Освещенность, лк, не менее</w:t>
            </w:r>
          </w:p>
        </w:tc>
        <w:tc>
          <w:tcPr>
            <w:tcW w:w="1680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пульсации </w:t>
            </w:r>
            <w:hyperlink w:anchor="P332">
              <w:r w:rsidRPr="005B1FF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B1FFE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освещенности, %, не более</w:t>
            </w:r>
          </w:p>
        </w:tc>
      </w:tr>
      <w:tr w:rsidR="005B1FFE" w:rsidRPr="005B1FFE">
        <w:tc>
          <w:tcPr>
            <w:tcW w:w="2211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при комбинированном (общем + местном) освещении</w:t>
            </w:r>
          </w:p>
        </w:tc>
        <w:tc>
          <w:tcPr>
            <w:tcW w:w="102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при общем освещении</w:t>
            </w:r>
          </w:p>
        </w:tc>
        <w:tc>
          <w:tcPr>
            <w:tcW w:w="1680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c>
          <w:tcPr>
            <w:tcW w:w="2211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Учебные помещения, кабинеты, аудитории, комнаты самоподготовки</w:t>
            </w:r>
          </w:p>
        </w:tc>
        <w:tc>
          <w:tcPr>
            <w:tcW w:w="241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Рабочие столы и парты на поверхности стола</w:t>
            </w:r>
          </w:p>
        </w:tc>
        <w:tc>
          <w:tcPr>
            <w:tcW w:w="85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1FFE" w:rsidRPr="005B1FFE">
        <w:tc>
          <w:tcPr>
            <w:tcW w:w="2211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Середина доски: В - 1,5</w:t>
            </w:r>
          </w:p>
        </w:tc>
        <w:tc>
          <w:tcPr>
            <w:tcW w:w="85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1FFE" w:rsidRPr="005B1FFE">
        <w:tc>
          <w:tcPr>
            <w:tcW w:w="2211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Помещения, оборудованные индивидуальными рабочими местами с персональным компьютером</w:t>
            </w:r>
          </w:p>
        </w:tc>
        <w:tc>
          <w:tcPr>
            <w:tcW w:w="241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Г - на поверхности стола</w:t>
            </w:r>
          </w:p>
        </w:tc>
        <w:tc>
          <w:tcPr>
            <w:tcW w:w="85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2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1FFE" w:rsidRPr="005B1FFE">
        <w:tc>
          <w:tcPr>
            <w:tcW w:w="2211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Экран В-1</w:t>
            </w:r>
          </w:p>
        </w:tc>
        <w:tc>
          <w:tcPr>
            <w:tcW w:w="850" w:type="dxa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200 (не более)</w:t>
            </w:r>
          </w:p>
        </w:tc>
        <w:tc>
          <w:tcPr>
            <w:tcW w:w="168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32"/>
      <w:bookmarkEnd w:id="3"/>
      <w:r w:rsidRPr="005B1FFE">
        <w:rPr>
          <w:rFonts w:ascii="Times New Roman" w:hAnsi="Times New Roman" w:cs="Times New Roman"/>
          <w:sz w:val="24"/>
          <w:szCs w:val="24"/>
        </w:rPr>
        <w:t>&lt;*&gt; Коэффициент пульсации показывает, насколько сильно освещенность от данного источника света отклоняется от среднего значения; коэффициент пульсации влияет на комфорт выполняемой работы.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Предельно допустимые уровни электромагнитных полей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7"/>
        <w:gridCol w:w="3572"/>
        <w:gridCol w:w="2268"/>
      </w:tblGrid>
      <w:tr w:rsidR="005B1FFE" w:rsidRPr="005B1FFE">
        <w:tc>
          <w:tcPr>
            <w:tcW w:w="3197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Наименование фактора</w:t>
            </w:r>
          </w:p>
        </w:tc>
        <w:tc>
          <w:tcPr>
            <w:tcW w:w="3572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26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Нормируемые уровни</w:t>
            </w:r>
          </w:p>
        </w:tc>
      </w:tr>
      <w:tr w:rsidR="005B1FFE" w:rsidRPr="005B1FFE">
        <w:tc>
          <w:tcPr>
            <w:tcW w:w="3197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Электростатическое поле (ЭСП)</w:t>
            </w:r>
          </w:p>
        </w:tc>
        <w:tc>
          <w:tcPr>
            <w:tcW w:w="3572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Напряженность ЭСП (Е), кВ/м</w:t>
            </w:r>
          </w:p>
        </w:tc>
        <w:tc>
          <w:tcPr>
            <w:tcW w:w="2268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Гигиенический норматив концентраций аэроионов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и коэффициента униполярности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0"/>
        <w:gridCol w:w="2534"/>
        <w:gridCol w:w="2041"/>
        <w:gridCol w:w="2041"/>
      </w:tblGrid>
      <w:tr w:rsidR="005B1FFE" w:rsidRPr="005B1FFE">
        <w:tc>
          <w:tcPr>
            <w:tcW w:w="2400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Нормируемые показатели</w:t>
            </w:r>
          </w:p>
        </w:tc>
        <w:tc>
          <w:tcPr>
            <w:tcW w:w="4575" w:type="dxa"/>
            <w:gridSpan w:val="2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аэроионов, </w:t>
            </w:r>
            <w:r w:rsidRPr="005B1FFE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>
                  <wp:extent cx="136525" cy="1784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 xml:space="preserve"> (ион/см</w:t>
            </w:r>
            <w:r w:rsidRPr="005B1F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униполярности У </w:t>
            </w:r>
            <w:hyperlink w:anchor="P360">
              <w:r w:rsidRPr="005B1FF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5B1FFE" w:rsidRPr="005B1FFE">
        <w:tc>
          <w:tcPr>
            <w:tcW w:w="2400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Положительной полярности</w:t>
            </w:r>
          </w:p>
        </w:tc>
        <w:tc>
          <w:tcPr>
            <w:tcW w:w="204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Отрицательной полярности</w:t>
            </w:r>
          </w:p>
        </w:tc>
        <w:tc>
          <w:tcPr>
            <w:tcW w:w="2041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FE" w:rsidRPr="005B1FFE">
        <w:tc>
          <w:tcPr>
            <w:tcW w:w="240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допустимые</w:t>
            </w:r>
          </w:p>
        </w:tc>
        <w:tc>
          <w:tcPr>
            <w:tcW w:w="253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628650" cy="2514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628650" cy="25146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от 0,4 до 1</w:t>
            </w:r>
          </w:p>
        </w:tc>
      </w:tr>
      <w:tr w:rsidR="005B1FFE" w:rsidRPr="005B1FFE">
        <w:tc>
          <w:tcPr>
            <w:tcW w:w="2400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допустимые</w:t>
            </w:r>
          </w:p>
        </w:tc>
        <w:tc>
          <w:tcPr>
            <w:tcW w:w="2534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796290" cy="25146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796290" cy="25146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60"/>
      <w:bookmarkEnd w:id="4"/>
      <w:r w:rsidRPr="005B1FFE">
        <w:rPr>
          <w:rFonts w:ascii="Times New Roman" w:hAnsi="Times New Roman" w:cs="Times New Roman"/>
          <w:sz w:val="24"/>
          <w:szCs w:val="24"/>
        </w:rPr>
        <w:t>&lt;*&gt; Отношение концентрации аэроионов положительной полярности к концентрации аэроионов отрицательной полярности.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Нормируемые параметры шума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5B1FFE" w:rsidRPr="005B1FFE">
        <w:tc>
          <w:tcPr>
            <w:tcW w:w="4592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Назначение помещений</w:t>
            </w:r>
          </w:p>
        </w:tc>
        <w:tc>
          <w:tcPr>
            <w:tcW w:w="4479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Уровни звука L (A), дБА</w:t>
            </w:r>
          </w:p>
        </w:tc>
      </w:tr>
      <w:tr w:rsidR="005B1FFE" w:rsidRPr="005B1FFE">
        <w:tc>
          <w:tcPr>
            <w:tcW w:w="4592" w:type="dxa"/>
            <w:vAlign w:val="center"/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Классные помещения, учебные кабинеты, аудитории образовательных организаций</w:t>
            </w:r>
          </w:p>
        </w:tc>
        <w:tc>
          <w:tcPr>
            <w:tcW w:w="4479" w:type="dxa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75"/>
      <w:bookmarkEnd w:id="5"/>
      <w:r w:rsidRPr="005B1FFE">
        <w:rPr>
          <w:rFonts w:ascii="Times New Roman" w:hAnsi="Times New Roman" w:cs="Times New Roman"/>
          <w:sz w:val="24"/>
          <w:szCs w:val="24"/>
        </w:rPr>
        <w:t>ПРОДОЛЖИТЕЛЬНОСТЬ ИСПОЛЬЗОВАНИЯ РАЗЛИЧНЫХ ТИПОВ ЭСО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(извлечение из Санитарных правил и норм</w:t>
      </w:r>
    </w:p>
    <w:p w:rsidR="005B1FFE" w:rsidRPr="005B1FFE" w:rsidRDefault="009B57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hyperlink r:id="rId28">
        <w:r w:rsidR="005B1FFE" w:rsidRPr="005B1FFE">
          <w:rPr>
            <w:rFonts w:ascii="Times New Roman" w:hAnsi="Times New Roman" w:cs="Times New Roman"/>
            <w:color w:val="0000FF"/>
            <w:sz w:val="24"/>
            <w:szCs w:val="24"/>
          </w:rPr>
          <w:t>СанПин 1.2.3685-21</w:t>
        </w:r>
      </w:hyperlink>
      <w:r w:rsidR="005B1FFE" w:rsidRPr="005B1FFE">
        <w:rPr>
          <w:rFonts w:ascii="Times New Roman" w:hAnsi="Times New Roman" w:cs="Times New Roman"/>
          <w:sz w:val="24"/>
          <w:szCs w:val="24"/>
        </w:rPr>
        <w:t xml:space="preserve"> "Гигиенические нормативы и требования</w:t>
      </w: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к обеспечению безопасности и (или) безвредности</w:t>
      </w: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lastRenderedPageBreak/>
        <w:t>для человека факторов среды обитания")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7"/>
        <w:gridCol w:w="2835"/>
        <w:gridCol w:w="3005"/>
      </w:tblGrid>
      <w:tr w:rsidR="005B1FFE" w:rsidRPr="005B1FFE">
        <w:tc>
          <w:tcPr>
            <w:tcW w:w="3197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Электронные средства обучения</w:t>
            </w: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на уроке, мин, не более</w:t>
            </w:r>
          </w:p>
        </w:tc>
      </w:tr>
      <w:tr w:rsidR="005B1FFE" w:rsidRPr="005B1FFE">
        <w:tc>
          <w:tcPr>
            <w:tcW w:w="3197" w:type="dxa"/>
            <w:vMerge w:val="restart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hyperlink w:anchor="P432">
              <w:r w:rsidRPr="005B1FF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1FFE" w:rsidRPr="005B1FFE">
        <w:tc>
          <w:tcPr>
            <w:tcW w:w="3197" w:type="dxa"/>
            <w:vMerge w:val="restart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B1FFE" w:rsidRPr="005B1FFE">
        <w:tc>
          <w:tcPr>
            <w:tcW w:w="3197" w:type="dxa"/>
            <w:vMerge w:val="restart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  <w:hyperlink w:anchor="P433">
              <w:r w:rsidRPr="005B1FF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1FFE" w:rsidRPr="005B1FFE">
        <w:tc>
          <w:tcPr>
            <w:tcW w:w="3197" w:type="dxa"/>
            <w:vMerge w:val="restart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1FFE" w:rsidRPr="005B1FFE">
        <w:tc>
          <w:tcPr>
            <w:tcW w:w="3197" w:type="dxa"/>
            <w:vMerge w:val="restart"/>
            <w:vAlign w:val="center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1FFE" w:rsidRPr="005B1FFE">
        <w:tc>
          <w:tcPr>
            <w:tcW w:w="3197" w:type="dxa"/>
            <w:vMerge/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3005" w:type="dxa"/>
          </w:tcPr>
          <w:p w:rsidR="005B1FFE" w:rsidRPr="005B1FFE" w:rsidRDefault="005B1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32"/>
      <w:bookmarkEnd w:id="6"/>
      <w:r w:rsidRPr="005B1FFE">
        <w:rPr>
          <w:rFonts w:ascii="Times New Roman" w:hAnsi="Times New Roman" w:cs="Times New Roman"/>
          <w:sz w:val="24"/>
          <w:szCs w:val="24"/>
        </w:rPr>
        <w:t>&lt;*&gt; Для определения продолжительности использования интерактивной доски (панели) на уроке рассчитывается суммарное время ее применения на занятии.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33"/>
      <w:bookmarkEnd w:id="7"/>
      <w:r w:rsidRPr="005B1FFE">
        <w:rPr>
          <w:rFonts w:ascii="Times New Roman" w:hAnsi="Times New Roman" w:cs="Times New Roman"/>
          <w:sz w:val="24"/>
          <w:szCs w:val="24"/>
        </w:rPr>
        <w:t>&lt;**&gt; Для определения продолжительности использования индивидуальных ЭСО (персональный компьютер, ноутбук, планшет) определяется непрерывное время их применения на уроке.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41"/>
      <w:bookmarkEnd w:id="8"/>
      <w:r w:rsidRPr="005B1FFE">
        <w:rPr>
          <w:rFonts w:ascii="Times New Roman" w:hAnsi="Times New Roman" w:cs="Times New Roman"/>
          <w:sz w:val="24"/>
          <w:szCs w:val="24"/>
        </w:rPr>
        <w:t>РЕКОМЕНДУЕМЫЕ ФИЗИЧЕСКИЕ УПРАЖНЕНИЯ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ФИЗКУЛЬТУРНЫХ МИНУТОК (ФМ) ПО ПРЕДУПРЕЖДЕНИЯ НЕГАТИВНОГО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ВЛИЯНИЯ ЭСО НА ЗДОРОВЬЕ ОБУЧАЮЩИХСЯ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Физические упражнения для улучшения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мозгового кровообращения, снятия утомления с шеи,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плечевого пояса, с туловища.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1. Исходное положение (И.П.) - сидя на стуле. 1, 2 - отвести голову назад и плавно наклонить назад, 3, 4 - голову наклонить вперед, плечи не поднимать. Повторить 4 - 6 раз. Темп медленный.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2. И.П. - сидя, руки на поясе. 1 - поворот головы направо, 2 - и.п., 3 - поворот головы налево, 4 - и.п., Повторить 4 - 6 раз. Темп медленный.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3. И.П. - сидя или стоя, руки на поясе. 1 - правую руку вперед, левую вверх. 2 - переменить положение рук. Повторить 3 - 4 раза, затем медленно опустить, голову наклонить вперед. Темп средний.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4. И.П. - стойка ноги врозь, руки за голову, 1 - резко повернуть таз направо. 2 - резко повернуть таз налево. Плечевой пояс остается неподвижным. Повторить 6 - 8 раз. Темп средний.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Упражнения для профилактики развития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"синдрома запястного канала"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1. Сожмите руки в кулак, поддержите в течение 3 с, а затем максимально разожмите и подержите 6 с.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2. Вытяните руки перед собой, поднимите и опустите их.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3. Опишите кончиками пальцем круги, будто бы рисуя букву "О".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4. Сделайте круговые движения большими пальцами сначала влево, потом вправо.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5. Методично надавливайте одной рукой на пальцы другой.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6. Энергично несколько раз встряхните руки.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Физические упражнения для профилактики зрительного утомления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Упражнения выполняются сидя или стоя, отвернувшись от экрана, при ритмичном дыхании с максимальной амплитудой движения глаз.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Вариант 1.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1. Закрыть глаза, сильно напрягая глазные мышцы, на счет 1 - 4, затем раскрыть глаза, расслабив мышцы глаз, посмотреть вдаль на счет 1 - 6. Повторить 4 - 5 раз.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2. Посмотреть на переносицу и задержать взор на счет 1 - 4. До усталости глаза не </w:t>
      </w:r>
      <w:r w:rsidRPr="005B1FFE">
        <w:rPr>
          <w:rFonts w:ascii="Times New Roman" w:hAnsi="Times New Roman" w:cs="Times New Roman"/>
          <w:sz w:val="24"/>
          <w:szCs w:val="24"/>
        </w:rPr>
        <w:lastRenderedPageBreak/>
        <w:t>доводить. Затем открыть глаза, посмотреть вдаль на счет 1 - 6. Повторить 4 - 5 раз.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3. Не поворачивая головы, посмотреть направо и зафиксировать взгляд на счет 1 - 4, затем посмотреть вдаль прямо на счет 1 - 6. Аналогичным образом проводят упражнения, но с фиксацией взгляда влево, вверх и вниз. Повторить 3 - 4 раза.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4. Перенести взгляд быстро по диагонали: направо вверх - налево вниз, потом прямо вдаль на счет 1 - 6; затем налево вверх направо вниз и посмотреть вдаль на счет 1 - 6. Повторить 4 - 5 раз.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Вариант 2.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1. Закрыть глаза, не напрягая глазные мышцы, на счет 1 - 4, широко раскрыть глаза и посмотреть вдаль на счет 1 - 6. Повторить 4 - 5 раз.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2. Посмотреть на кончик носа на счет 1 - 4, а потом перевести взгляд вдаль на счет 1 - 6. Повторить 4 - 5 раз.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3. Не поворачивая головы (голова прямо), делать медленно круговые движения глазами вверх - вправо - вниз - влево и в обратную сторону: вверх - влево - вниз - вправо. Затем посмотреть вдаль на счет 1 - 6. Повторить 4 - 5 раз.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4. При неподвижной голове перевести взор с фиксацией его на счет 1 - 4 вверх, на счет 1 - 6 прямо; после чего аналогичным образом вниз - прямо, вправо - прямо, влево - прямо. Проделать движение по диагонали в одну и другую стороны с переводом глаз прямо на счет 1 - 6. Повторить 3 - 4 раза.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Вариант 3.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1. Голову держать прямо. Поморгать, не напрягая глазные мышцы, на счет 10 - 15.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2. Не поворачивая головы (голова прямо) с закрытыми глазами, посмотреть направо на счет 1 - 4, затем налево на счет 1 - 4 и прямо на счет 1 - 6. Поднять глаза вверх на счет 1 - 4, опустить вниз на счет 1 - 4 и перевести взгляд прямо на счет 1 - 6. Повторить 4 - 5 раз.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3. Посмотреть на указательный палец, удаленный от глаз на расстояние 25 - 30 см, на счет 1 - 4, потом перевести взор вдаль на счет 1 - 6. Повторить 4 - 5 раз.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4. В среднем темпе проделать 3 - 4 круговых движений в правую сторону, столько же в левую сторону и, расслабив глазные мышцы, посмотреть вдаль на счет 1 - 6. Повторить 1 - 2 раза.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Приложение 5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92"/>
      <w:bookmarkEnd w:id="9"/>
      <w:r w:rsidRPr="005B1FFE">
        <w:rPr>
          <w:rFonts w:ascii="Times New Roman" w:hAnsi="Times New Roman" w:cs="Times New Roman"/>
          <w:sz w:val="24"/>
          <w:szCs w:val="24"/>
        </w:rPr>
        <w:t>Анкета</w:t>
      </w:r>
    </w:p>
    <w:p w:rsidR="005B1FFE" w:rsidRPr="005B1FFE" w:rsidRDefault="005B1F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для оценки гигиенической рациональности школьного урока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10"/>
        <w:gridCol w:w="732"/>
        <w:gridCol w:w="964"/>
        <w:gridCol w:w="505"/>
        <w:gridCol w:w="345"/>
        <w:gridCol w:w="340"/>
        <w:gridCol w:w="508"/>
        <w:gridCol w:w="695"/>
        <w:gridCol w:w="1701"/>
        <w:gridCol w:w="1191"/>
      </w:tblGrid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Уважаемые педагоги! Цель нашего опроса изучить, как с физиолого-гигиенических позиций организован урок в современной школе. Пожалуйста, охарактеризуйте проведенный Вами урок. Заранее благодарны за участие в нашем опросе!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__________ Школа __________ Предмет __________ Класс ________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1. Какова, в среднем, плотность обычно проводимого Вами урока (% времени, затраченного школьниками непосредственно на учебную работу) - подчеркните:</w:t>
            </w:r>
          </w:p>
        </w:tc>
      </w:tr>
      <w:tr w:rsidR="005B1FFE" w:rsidRPr="005B1FFE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а. менее 60%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б. 60 - 80%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в. 85 - 90%</w:t>
            </w:r>
          </w:p>
        </w:tc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г. более 90% времени урока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2. Какое количество видов учебной деятельности (письмо, чтение, слушание, рассказ, рассматривание наглядных пособий, ответы на вопросы и т.д.), как правило, можно выделить на Вашем уроке? (подчеркните):</w:t>
            </w:r>
          </w:p>
        </w:tc>
      </w:tr>
      <w:tr w:rsidR="005B1FFE" w:rsidRPr="005B1FFE">
        <w:tc>
          <w:tcPr>
            <w:tcW w:w="4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а. 1 - 2 вида учебной деятельности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б. 2 - 3 вида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в. 4 - 7 видов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г. более 7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3. Какова средняя продолжительность каждого вида учебной деятельности? (подчеркните):</w:t>
            </w:r>
          </w:p>
        </w:tc>
      </w:tr>
      <w:tr w:rsidR="005B1FFE" w:rsidRPr="005B1FFE"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а. 10 мин и менее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б. 11 - 15 мин</w:t>
            </w:r>
          </w:p>
        </w:tc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в. более 15 минут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4. Присутствуют ли эмоциональные разрядки на Вашем уроке (поговорка, знаменитое высказывание, музыкальная минутка, юмористическая картинка и т.д.)? - подчеркните:</w:t>
            </w:r>
          </w:p>
        </w:tc>
      </w:tr>
      <w:tr w:rsidR="005B1FFE" w:rsidRPr="005B1FFE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а. ДА</w:t>
            </w:r>
          </w:p>
        </w:tc>
        <w:tc>
          <w:tcPr>
            <w:tcW w:w="72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б. НЕТ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Если ДА, то укажите количество эмоциональных разрядок на Ваших уроках?</w:t>
            </w:r>
          </w:p>
        </w:tc>
      </w:tr>
      <w:tr w:rsidR="005B1FFE" w:rsidRPr="005B1FFE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а. 1 разрядка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б. 2 - 3 разрядки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в. нет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г. другое (напишите) ____________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7. Используются ли электронные средства обучения, такие как: компьютеры, ноутбуки, интерактивные доски, другие электронные устройства (напишите, какие) ___________________</w:t>
            </w:r>
          </w:p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в процессе Вашего урока? (Подчеркните):</w:t>
            </w:r>
          </w:p>
        </w:tc>
      </w:tr>
      <w:tr w:rsidR="005B1FFE" w:rsidRPr="005B1FFE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а. ДА</w:t>
            </w:r>
          </w:p>
        </w:tc>
        <w:tc>
          <w:tcPr>
            <w:tcW w:w="72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б. НЕТ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Если ДА, то укажите:</w:t>
            </w:r>
          </w:p>
          <w:p w:rsidR="005B1FFE" w:rsidRPr="005B1FFE" w:rsidRDefault="005B1FF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- примерную непрерывную длительность их использования за урок (в минутах) ___________________</w:t>
            </w:r>
          </w:p>
          <w:p w:rsidR="005B1FFE" w:rsidRPr="005B1FFE" w:rsidRDefault="005B1FF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- примерную (суммарную за урок) длительность их использования в минутах ___________________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8. Проводятся ли на Вашем уроке физкультминутки? (подчеркните):</w:t>
            </w:r>
          </w:p>
        </w:tc>
      </w:tr>
      <w:tr w:rsidR="005B1FFE" w:rsidRPr="005B1FFE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а. ДА</w:t>
            </w:r>
          </w:p>
        </w:tc>
        <w:tc>
          <w:tcPr>
            <w:tcW w:w="72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б. НЕТ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Если ДА, то укажите их содержание и продолжительность (выберите ответ):</w:t>
            </w:r>
          </w:p>
        </w:tc>
      </w:tr>
      <w:tr w:rsidR="005B1FFE" w:rsidRPr="005B1FFE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а. два раза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б. один раз за урок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в. не проводится.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Если проводится, то укажите (примерно) на какой/каких минуте урока ___________</w:t>
            </w:r>
          </w:p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упражнений _______________________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9. Ваши замечания и пожелания в рамках изучаемой проблемы? __________________</w:t>
            </w:r>
          </w:p>
          <w:p w:rsidR="005B1FFE" w:rsidRPr="005B1FFE" w:rsidRDefault="005B1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5B1FFE" w:rsidRPr="005B1FFE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1FFE" w:rsidRPr="005B1FFE" w:rsidRDefault="005B1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FE">
              <w:rPr>
                <w:rFonts w:ascii="Times New Roman" w:hAnsi="Times New Roman" w:cs="Times New Roman"/>
                <w:sz w:val="24"/>
                <w:szCs w:val="24"/>
              </w:rPr>
              <w:t>Спасибо за ответы!</w:t>
            </w:r>
          </w:p>
        </w:tc>
      </w:tr>
    </w:tbl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Приложение 6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545"/>
      <w:bookmarkEnd w:id="10"/>
      <w:r w:rsidRPr="005B1FFE">
        <w:rPr>
          <w:rFonts w:ascii="Times New Roman" w:hAnsi="Times New Roman" w:cs="Times New Roman"/>
          <w:sz w:val="24"/>
          <w:szCs w:val="24"/>
        </w:rPr>
        <w:t>ПАМЯТКА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ДЛЯ ПЕДАГОГОВ "ГИГИЕНИЧЕСКИЕ РЕКОМЕНДАЦИИ ПО ОРГАНИЗАЦИИ</w:t>
      </w:r>
    </w:p>
    <w:p w:rsidR="005B1FFE" w:rsidRPr="005B1FFE" w:rsidRDefault="005B1F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ОБРАЗОВАТЕЛЬНОГО ПРОЦЕССА С ИСПОЛЬЗОВАНИЕМ ЭСО"</w:t>
      </w:r>
    </w:p>
    <w:p w:rsidR="005B1FFE" w:rsidRPr="005B1FFE" w:rsidRDefault="005B1F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 последние годы показатели состояния здоровья российских школьников отражают увеличение распространенности тех его нарушений, которые в значительной степени обусловлены длительным на протяжении всего периода обучения в школе влиянием неблагоприятных факторов школьной среды, в том числе с воздействием на организм ребенка электронных средств обучения, аудиовизуальной продукции.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Школьные уроки, начиная с младших классов, характеризуются активным применением различных электронных средств обучения, как коллективного использования (интерактивные доски, панели), так и индивидуального - персональные компьютеры, ноутбуки, планшеты. Условия, способствующие возникновению потенциального риска для здоровья детей, создаются при несоблюдении гигиенических требований применения электронных средств обучения на уроке.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Важно создать и поддерживать оптимальные условия в учебном классе (микроклимат, освещенность, подбор и расстановка учебной мебели т.д.). Нормативные показатели представлены в соответствующих документах (</w:t>
      </w:r>
      <w:hyperlink r:id="rId29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СП 2.4.3648-20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организации воспитания и обучения, отдыха и оздоровления детей и молодежи"; </w:t>
      </w:r>
      <w:hyperlink r:id="rId30">
        <w:r w:rsidRPr="005B1FFE">
          <w:rPr>
            <w:rFonts w:ascii="Times New Roman" w:hAnsi="Times New Roman" w:cs="Times New Roman"/>
            <w:color w:val="0000FF"/>
            <w:sz w:val="24"/>
            <w:szCs w:val="24"/>
          </w:rPr>
          <w:t>СанПиН 1.2.3685-21</w:t>
        </w:r>
      </w:hyperlink>
      <w:r w:rsidRPr="005B1FFE">
        <w:rPr>
          <w:rFonts w:ascii="Times New Roman" w:hAnsi="Times New Roman" w:cs="Times New Roman"/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обитания").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Перед уроком и на переменах (в отсутствие детей) класс необходимо проветривать.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Не рекомендуется использовать на уроке более двух электронных средств одновременно, оптимальным же является применение одного устройства. Уроки с использованием двух видов устройств отличаются значительной интенсификацией учебной работы и более утомительны для младших школьников, чем уроки, на которых применяется один вид электронных средств и традиционные уроки. Использование двух видов менее предпочтительно при организации урока, чем применение одного вида электронных средств обучения.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На уроках для учебной работы не следует использовать смартфон, поскольку размер его экрана слишком мал и не позволяет обеспечить комфортный зрительный режим для глаз ребенка.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 работе с любыми цифровыми средствами на уроке предполагается соблюдение гигиенических регламентов их использования согласно Санитарному законодательству. Для индивидуальных цифровых средств (персональный компьютер, ноутбук, планшет) определено время непрерывной работы с ними на уроке; для средств коллективного использования (интерактивные доски, интерактивные панели) - суммарное время за урок. При применении двух и более электронных средств суммарное время работы с ними не должно превышать максимума по одному из них.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 xml:space="preserve">Если использование электронного устройства (например, интерактивной панели и т.п.) по ходу урока приостановлено (завершено), то следует его выключать или переводить в </w:t>
      </w:r>
      <w:r w:rsidRPr="005B1FFE">
        <w:rPr>
          <w:rFonts w:ascii="Times New Roman" w:hAnsi="Times New Roman" w:cs="Times New Roman"/>
          <w:sz w:val="24"/>
          <w:szCs w:val="24"/>
        </w:rPr>
        <w:lastRenderedPageBreak/>
        <w:t>"спящий" режим, чтобы светящийся экран не находился в поле зрения ребенка. При необходимости использовать наушники - уровень громкости не должен превышать 60% от максимальной.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Общие принципы построения уроков с точки зрения гигиены и физиологии предусматривают смену различных видов учебной деятельности (письмо, чтение, опрос и т.д.) не реже чем, через 5 - 7 мин для младших школьников и 7 - 10 мин для остальных обучающихся.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Традиционные физкультминутки (ФМ) на уроке не потеряли своей актуальности и эффективности в современных условиях обучения. На уроках с использованием электронных средств обучения необходимо организовать ФМ (около 2 - 5 мин в середине урока), на которых должны проводиться физические упражнения для снятия общего и зрительного утомления.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В процессе обучения наряду с цифровыми средствами необходимо широко использовать традиционные книги и ручное письмо, особенно на начальных этапах школьного обучения. В многочисленных исследованиях последних лет установлено, что для глубокого понимания содержания текста более эффективно читать его с печатного листа, чем с экрана. Обучение письму на клавиатуре у детей также менее эффективно, чем при письме на бумаге. При наборе текста на клавиатуре обучающиеся обычно бездумно копируют его. Ручное письмо, напротив, помогает сосредоточиться и лучше понять и запомнить содержание текста. Рекомендуется в отдельных областях (в математике), а также для чтения информационных текстов эффективнее использовать печатные тексты на бумаге.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При использовании компьютерных технологий особое внимание следует уделять дизайну текстов, их объему, структурированности, использовать для чтения "чистый экран", на котором отсутствуют отвлекающие окна, программы, оповещения и т.п.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Шрифтовое оформление электронных учебных изданий должно соответствовать гигиеническим нормативам.</w:t>
      </w:r>
    </w:p>
    <w:p w:rsidR="005B1FFE" w:rsidRPr="005B1FFE" w:rsidRDefault="005B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FFE">
        <w:rPr>
          <w:rFonts w:ascii="Times New Roman" w:hAnsi="Times New Roman" w:cs="Times New Roman"/>
          <w:sz w:val="24"/>
          <w:szCs w:val="24"/>
        </w:rPr>
        <w:t>Организация учебного процесса с учетом представленных требований и рекомендаций позволит сохранить работоспособность, предотвратить возникновение переутомления и школьно-обусловленных заболеваний у обучающихся.</w:t>
      </w: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1FFE" w:rsidRPr="005B1FFE" w:rsidRDefault="005B1FF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B6485" w:rsidRPr="009B5720" w:rsidRDefault="009B5720" w:rsidP="009B57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20">
        <w:rPr>
          <w:rFonts w:ascii="Times New Roman" w:hAnsi="Times New Roman" w:cs="Times New Roman"/>
          <w:b/>
          <w:sz w:val="24"/>
          <w:szCs w:val="24"/>
        </w:rPr>
        <w:t>(вместе с "Рекомендуемой номенклатурой, объемом и периодичностью проведения лабораторных и инструментальных исследований в организациях воспитания и обучения, отдыха и оздоровления детей и молодежи", "Гигиеническими нормативами основных параметров внутришкольной среды, оборудования, расстановки мебели в учебных помещения общеобразовательных организаций")</w:t>
      </w:r>
      <w:bookmarkStart w:id="11" w:name="_GoBack"/>
      <w:bookmarkEnd w:id="11"/>
    </w:p>
    <w:sectPr w:rsidR="00EB6485" w:rsidRPr="009B5720" w:rsidSect="0066195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FE"/>
    <w:rsid w:val="005B1FFE"/>
    <w:rsid w:val="00661955"/>
    <w:rsid w:val="009B5720"/>
    <w:rsid w:val="00EB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638D6-9CF8-48A3-A2DB-0C676ED5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B1F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B1F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C293BD58C2455A1F0D0E0B5E3B5787A0D9ED8396286D8C374DDFC7D0BB47446E564B609A2A5D643t1I" TargetMode="External"/><Relationship Id="rId13" Type="http://schemas.openxmlformats.org/officeDocument/2006/relationships/hyperlink" Target="consultantplus://offline/ref=86E1B8EE6D25CEDE9989361DC37A1149FF682838D2892455A1F0D0E0B5E3B5787A0D9ED8396286DCC874DDFC7D0BB47446E564B609A2A5D643t1I" TargetMode="External"/><Relationship Id="rId18" Type="http://schemas.openxmlformats.org/officeDocument/2006/relationships/hyperlink" Target="consultantplus://offline/ref=86E1B8EE6D25CEDE9989361DC37A1149FF6A213DD98B2455A1F0D0E0B5E3B5787A0D9ED8396286DEC674DDFC7D0BB47446E564B609A2A5D643t1I" TargetMode="External"/><Relationship Id="rId26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6E1B8EE6D25CEDE9989361DC37A1149FF65243BD9892455A1F0D0E0B5E3B578680DC6D4386598DAC5618BAD3B45tDI" TargetMode="External"/><Relationship Id="rId7" Type="http://schemas.openxmlformats.org/officeDocument/2006/relationships/hyperlink" Target="consultantplus://offline/ref=86E1B8EE6D25CEDE9989361DC37A1149F86E283DD08D2455A1F0D0E0B5E3B5787A0D9EDE3E648FD1952ECDF8345FBE6B41FF7AB017A24At6I" TargetMode="External"/><Relationship Id="rId12" Type="http://schemas.openxmlformats.org/officeDocument/2006/relationships/hyperlink" Target="consultantplus://offline/ref=86E1B8EE6D25CEDE9989361DC37A1149F86E203ED28B2455A1F0D0E0B5E3B5787A0D9EDB3A608D8E903BDCA03859A77545E566B2154At3I" TargetMode="External"/><Relationship Id="rId17" Type="http://schemas.openxmlformats.org/officeDocument/2006/relationships/hyperlink" Target="consultantplus://offline/ref=86E1B8EE6D25CEDE9989361DC37A1149FF68283ED8892455A1F0D0E0B5E3B5787A0D9ED8396286DAC874DDFC7D0BB47446E564B609A2A5D643t1I" TargetMode="External"/><Relationship Id="rId25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E1B8EE6D25CEDE9989361DC37A1149F86C293BD6892455A1F0D0E0B5E3B5787A0D9ED8396286D8C774DDFC7D0BB47446E564B609A2A5D643t1I" TargetMode="External"/><Relationship Id="rId20" Type="http://schemas.openxmlformats.org/officeDocument/2006/relationships/hyperlink" Target="consultantplus://offline/ref=86E1B8EE6D25CEDE9989361DC37A1149FF65243BD9892455A1F0D0E0B5E3B578680DC6D4386598DAC5618BAD3B45tDI" TargetMode="External"/><Relationship Id="rId29" Type="http://schemas.openxmlformats.org/officeDocument/2006/relationships/hyperlink" Target="consultantplus://offline/ref=86E1B8EE6D25CEDE9989361DC37A1149FF6A213DD98B2455A1F0D0E0B5E3B5787A0D9ED8396286DEC674DDFC7D0BB47446E564B609A2A5D643t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1B8EE6D25CEDE9989361DC37A1149FF68283ED8892455A1F0D0E0B5E3B578680DC6D4386598DAC5618BAD3B45tDI" TargetMode="External"/><Relationship Id="rId11" Type="http://schemas.openxmlformats.org/officeDocument/2006/relationships/hyperlink" Target="consultantplus://offline/ref=86E1B8EE6D25CEDE9989361DC37A1149F8692038D28F2455A1F0D0E0B5E3B5787A0D9ED8396284DCC474DDFC7D0BB47446E564B609A2A5D643t1I" TargetMode="External"/><Relationship Id="rId24" Type="http://schemas.openxmlformats.org/officeDocument/2006/relationships/image" Target="media/image2.wmf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86E1B8EE6D25CEDE9989361DC37A1149FD69223BD08B2455A1F0D0E0B5E3B5787A0D9ED8396286DAC274DDFC7D0BB47446E564B609A2A5D643t1I" TargetMode="External"/><Relationship Id="rId15" Type="http://schemas.openxmlformats.org/officeDocument/2006/relationships/hyperlink" Target="consultantplus://offline/ref=86E1B8EE6D25CEDE9989361DC37A1149F86E283DD08D2455A1F0D0E0B5E3B5787A0D9EDE3E648FD1952ECDF8345FBE6B41FF7AB017A24At6I" TargetMode="External"/><Relationship Id="rId23" Type="http://schemas.openxmlformats.org/officeDocument/2006/relationships/image" Target="media/image1.wmf"/><Relationship Id="rId28" Type="http://schemas.openxmlformats.org/officeDocument/2006/relationships/hyperlink" Target="consultantplus://offline/ref=86E1B8EE6D25CEDE9989361DC37A1149F869213FD0882455A1F0D0E0B5E3B5787A0D9ED8396287D9C674DDFC7D0BB47446E564B609A2A5D643t1I" TargetMode="External"/><Relationship Id="rId10" Type="http://schemas.openxmlformats.org/officeDocument/2006/relationships/hyperlink" Target="consultantplus://offline/ref=86E1B8EE6D25CEDE9989361DC37A1149F86E283DD08D2455A1F0D0E0B5E3B5787A0D9EDE3E648FD1952ECDF8345FBE6B41FF7AB017A24At6I" TargetMode="External"/><Relationship Id="rId19" Type="http://schemas.openxmlformats.org/officeDocument/2006/relationships/hyperlink" Target="consultantplus://offline/ref=86E1B8EE6D25CEDE9989361DC37A1149F869213FD0882455A1F0D0E0B5E3B5787A0D9ED8396287D9C674DDFC7D0BB47446E564B609A2A5D643t1I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86E1B8EE6D25CEDE9989361DC37A1149F8692038D28F2455A1F0D0E0B5E3B5787A0D9ED8396284D9C874DDFC7D0BB47446E564B609A2A5D643t1I" TargetMode="External"/><Relationship Id="rId9" Type="http://schemas.openxmlformats.org/officeDocument/2006/relationships/hyperlink" Target="consultantplus://offline/ref=86E1B8EE6D25CEDE9989361DC37A1149F86C293BD6892455A1F0D0E0B5E3B5787A0D9ED8396286D8C774DDFC7D0BB47446E564B609A2A5D643t1I" TargetMode="External"/><Relationship Id="rId14" Type="http://schemas.openxmlformats.org/officeDocument/2006/relationships/hyperlink" Target="consultantplus://offline/ref=86E1B8EE6D25CEDE9989361DC37A1149F86C293BD58C2455A1F0D0E0B5E3B5787A0D9ED8396286D8C374DDFC7D0BB47446E564B609A2A5D643t1I" TargetMode="External"/><Relationship Id="rId22" Type="http://schemas.openxmlformats.org/officeDocument/2006/relationships/hyperlink" Target="consultantplus://offline/ref=86E1B8EE6D25CEDE9989361DC37A1149F869213FD0882455A1F0D0E0B5E3B5787A0D9ED8396287D9C674DDFC7D0BB47446E564B609A2A5D643t1I" TargetMode="External"/><Relationship Id="rId27" Type="http://schemas.openxmlformats.org/officeDocument/2006/relationships/image" Target="media/image5.wmf"/><Relationship Id="rId30" Type="http://schemas.openxmlformats.org/officeDocument/2006/relationships/hyperlink" Target="consultantplus://offline/ref=86E1B8EE6D25CEDE9989361DC37A1149F869213FD0882455A1F0D0E0B5E3B5787A0D9ED8396287D9C674DDFC7D0BB47446E564B609A2A5D643t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5741</Words>
  <Characters>32727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Наталья Анатольевна</dc:creator>
  <cp:keywords/>
  <dc:description/>
  <cp:lastModifiedBy>Моисеева Наталья Анатольевна</cp:lastModifiedBy>
  <cp:revision>3</cp:revision>
  <dcterms:created xsi:type="dcterms:W3CDTF">2023-04-17T08:45:00Z</dcterms:created>
  <dcterms:modified xsi:type="dcterms:W3CDTF">2023-04-17T09:02:00Z</dcterms:modified>
</cp:coreProperties>
</file>